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80E7" w14:textId="77777777" w:rsidR="00E3500E" w:rsidRDefault="00E3500E" w:rsidP="00D766F3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7E54A" w14:textId="77777777" w:rsidR="00E3500E" w:rsidRPr="00E3500E" w:rsidRDefault="00E3500E" w:rsidP="00044976">
      <w:pPr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DLACZEGO </w:t>
      </w:r>
      <w:r w:rsidR="00044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 STOSOWAĆ </w:t>
      </w:r>
      <w:r w:rsidRPr="00E3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KAMERY O WYŻSZEJ ROZDZIELCZOŚCI</w:t>
      </w:r>
      <w:r w:rsidR="000449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E240F10" w14:textId="77777777" w:rsidR="00D231A6" w:rsidRDefault="00D231A6" w:rsidP="00E3500E">
      <w:pPr>
        <w:numPr>
          <w:ilvl w:val="0"/>
          <w:numId w:val="3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1A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tej samej jakości obrazu jedna kamera 2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-3 </w:t>
      </w:r>
      <w:proofErr w:type="spellStart"/>
      <w:r w:rsidRPr="00D231A6">
        <w:rPr>
          <w:rFonts w:ascii="Times New Roman" w:eastAsia="Times New Roman" w:hAnsi="Times New Roman" w:cs="Times New Roman"/>
          <w:sz w:val="24"/>
          <w:szCs w:val="24"/>
          <w:lang w:eastAsia="pl-PL"/>
        </w:rPr>
        <w:t>MP</w:t>
      </w:r>
      <w:proofErr w:type="spellEnd"/>
      <w:r w:rsidRPr="00D2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polem widzenia obszar równy 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6-8</w:t>
      </w:r>
      <w:r w:rsidRPr="00D2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kamerom analogowym, widać też kontekst zdarzenia i szerszą perspektywę,</w:t>
      </w:r>
      <w:r w:rsidR="007A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62C814" w14:textId="77777777" w:rsidR="00E3500E" w:rsidRDefault="00D231A6" w:rsidP="00E3500E">
      <w:pPr>
        <w:numPr>
          <w:ilvl w:val="0"/>
          <w:numId w:val="3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96D">
        <w:rPr>
          <w:rFonts w:ascii="Times New Roman" w:eastAsia="Times New Roman" w:hAnsi="Times New Roman" w:cs="Times New Roman"/>
          <w:sz w:val="24"/>
          <w:szCs w:val="24"/>
          <w:lang w:eastAsia="pl-PL"/>
        </w:rPr>
        <w:t>w większości przypadków  możemy ograniczyć ilość kamer w projekcie, co pozwala na obniżenie kosztów instalacji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, okablowania</w:t>
      </w:r>
      <w:r w:rsidRPr="007A7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późniejszego serwisu; 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A29D6F" w14:textId="77777777" w:rsidR="00E3500E" w:rsidRDefault="00E3500E" w:rsidP="00E3500E">
      <w:pPr>
        <w:numPr>
          <w:ilvl w:val="0"/>
          <w:numId w:val="5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mniejsza ilość kamer </w:t>
      </w:r>
      <w:r w:rsidR="00D231A6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 obserwację obrazu z kamer oraz przeszukiwanie nagranego materiału</w:t>
      </w:r>
      <w:r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zdarzenia</w:t>
      </w:r>
      <w:r w:rsidR="00D231A6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7E49AB" w14:textId="77777777" w:rsidR="00A25C50" w:rsidRDefault="00CA124F" w:rsidP="00CB2E7C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wysokie rozdzielczości rejestrowanego obrazu zapewniają szersze możliwości wykorzystania jako materiału dowodowego oraz w czynnościach procesowych do osób niepowołanych lub znajdujących się w obserwowanym obszarze, dzięki wysoko wydajnym przetwornikom obrazu z megapikselowymi matrycami zyskujemy wysokie rozdzielczości rejestrowanych klatek obrazu, mamy do dyspozycji więcej szczegółów, co pozwoli na </w:t>
      </w:r>
      <w:r w:rsidRPr="00E350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rozpoznanie twarzy</w:t>
      </w:r>
      <w:r w:rsidR="00E3500E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350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rozpoznawanie rejestracji samochodów</w:t>
      </w:r>
      <w:r w:rsidR="00E3500E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, itp.</w:t>
      </w:r>
      <w:r w:rsidR="00E3500E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500E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5C50" w:rsidRP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normy </w:t>
      </w:r>
      <w:proofErr w:type="spellStart"/>
      <w:r w:rsidR="00A25C50" w:rsidRPr="00E3500E">
        <w:rPr>
          <w:sz w:val="23"/>
          <w:szCs w:val="23"/>
        </w:rPr>
        <w:t>PN</w:t>
      </w:r>
      <w:proofErr w:type="spellEnd"/>
      <w:r w:rsidR="00A25C50" w:rsidRPr="00E3500E">
        <w:rPr>
          <w:sz w:val="23"/>
          <w:szCs w:val="23"/>
        </w:rPr>
        <w:t xml:space="preserve">-EN 50132-7:2012 </w:t>
      </w:r>
      <w:r w:rsidR="00A25C50" w:rsidRPr="00E3500E">
        <w:rPr>
          <w:i/>
        </w:rPr>
        <w:t xml:space="preserve">Systemy alarmowe -- Systemy dozorowe </w:t>
      </w:r>
      <w:proofErr w:type="spellStart"/>
      <w:r w:rsidR="00A25C50" w:rsidRPr="00E3500E">
        <w:rPr>
          <w:i/>
        </w:rPr>
        <w:t>CCTV</w:t>
      </w:r>
      <w:proofErr w:type="spellEnd"/>
      <w:r w:rsidR="00A25C50" w:rsidRPr="00E3500E">
        <w:rPr>
          <w:i/>
        </w:rPr>
        <w:t xml:space="preserve"> stosowane w zabezpieczeniach -- Część 7: Wytyczne stosowania </w:t>
      </w:r>
      <w:r w:rsidR="00A25C50">
        <w:t>możemy wyróżnić 6 poziomów jakości obrazu: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265"/>
        <w:gridCol w:w="2265"/>
        <w:gridCol w:w="2502"/>
        <w:gridCol w:w="2266"/>
      </w:tblGrid>
      <w:tr w:rsidR="00A25C50" w:rsidRPr="00A25C50" w14:paraId="4AD73A4A" w14:textId="77777777" w:rsidTr="00A25C50">
        <w:tc>
          <w:tcPr>
            <w:tcW w:w="2265" w:type="dxa"/>
          </w:tcPr>
          <w:p w14:paraId="7CDD149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</w:p>
        </w:tc>
        <w:tc>
          <w:tcPr>
            <w:tcW w:w="2265" w:type="dxa"/>
          </w:tcPr>
          <w:p w14:paraId="486CBB34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</w:t>
            </w:r>
            <w:proofErr w:type="spellStart"/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metr</w:t>
            </w:r>
          </w:p>
        </w:tc>
        <w:tc>
          <w:tcPr>
            <w:tcW w:w="2502" w:type="dxa"/>
          </w:tcPr>
          <w:p w14:paraId="0E569096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2266" w:type="dxa"/>
          </w:tcPr>
          <w:p w14:paraId="29F5840A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>Ilość mm/</w:t>
            </w:r>
            <w:proofErr w:type="spellStart"/>
            <w:r w:rsidRPr="00A25C50">
              <w:rPr>
                <w:rFonts w:ascii="Times New Roman" w:hAnsi="Times New Roman" w:cs="Times New Roman"/>
                <w:b/>
                <w:sz w:val="24"/>
                <w:szCs w:val="24"/>
              </w:rPr>
              <w:t>pixel</w:t>
            </w:r>
            <w:proofErr w:type="spellEnd"/>
          </w:p>
        </w:tc>
      </w:tr>
      <w:tr w:rsidR="00A25C50" w14:paraId="7C5AB2C1" w14:textId="77777777" w:rsidTr="00A25C50">
        <w:tc>
          <w:tcPr>
            <w:tcW w:w="2265" w:type="dxa"/>
          </w:tcPr>
          <w:p w14:paraId="3DE40DB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Inspekcja </w:t>
            </w:r>
          </w:p>
          <w:p w14:paraId="70EFD1DE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B53130E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min. 1000 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/metr </w:t>
            </w:r>
          </w:p>
          <w:p w14:paraId="7D0EDF04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E8EA1FA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rozpoznanie drobnych szczegółów sceny</w:t>
            </w:r>
          </w:p>
        </w:tc>
        <w:tc>
          <w:tcPr>
            <w:tcW w:w="2266" w:type="dxa"/>
          </w:tcPr>
          <w:p w14:paraId="00E8C1A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max 1 mm/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</w:p>
        </w:tc>
      </w:tr>
      <w:tr w:rsidR="00A25C50" w14:paraId="2C1AAF89" w14:textId="77777777" w:rsidTr="00A25C50">
        <w:tc>
          <w:tcPr>
            <w:tcW w:w="2265" w:type="dxa"/>
          </w:tcPr>
          <w:p w14:paraId="3E889D10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Identyfikacja </w:t>
            </w:r>
          </w:p>
          <w:p w14:paraId="19FE3313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</w:tcPr>
          <w:p w14:paraId="47FA2596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min. 250 </w:t>
            </w:r>
            <w:proofErr w:type="spellStart"/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pixeli</w:t>
            </w:r>
            <w:proofErr w:type="spellEnd"/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/metr </w:t>
            </w:r>
          </w:p>
          <w:p w14:paraId="6280C27B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02" w:type="dxa"/>
          </w:tcPr>
          <w:p w14:paraId="00B1E478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Dowód w sprawie karnej </w:t>
            </w:r>
          </w:p>
        </w:tc>
        <w:tc>
          <w:tcPr>
            <w:tcW w:w="2266" w:type="dxa"/>
          </w:tcPr>
          <w:p w14:paraId="439685C4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max 4 mm/</w:t>
            </w:r>
            <w:proofErr w:type="spellStart"/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pixel</w:t>
            </w:r>
            <w:proofErr w:type="spellEnd"/>
            <w:r w:rsidRPr="00E350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0096968F" w14:textId="77777777" w:rsidR="00A25C50" w:rsidRPr="00E3500E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25C50" w:rsidRPr="00A25C50" w14:paraId="0778A1E8" w14:textId="77777777" w:rsidTr="00A25C50">
        <w:tc>
          <w:tcPr>
            <w:tcW w:w="2265" w:type="dxa"/>
          </w:tcPr>
          <w:p w14:paraId="16CCEE78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Rozpoznanie </w:t>
            </w:r>
          </w:p>
          <w:p w14:paraId="4EE52C73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E71879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min. 125 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/metr </w:t>
            </w:r>
          </w:p>
          <w:p w14:paraId="64A2B046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05150DC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rozpoznanie osoby i każdej tablicy rejestracyjnej </w:t>
            </w:r>
          </w:p>
        </w:tc>
        <w:tc>
          <w:tcPr>
            <w:tcW w:w="2266" w:type="dxa"/>
          </w:tcPr>
          <w:p w14:paraId="5A97E32F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max 8 mm/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3650F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50" w:rsidRPr="00A25C50" w14:paraId="09D29803" w14:textId="77777777" w:rsidTr="00A25C50">
        <w:tc>
          <w:tcPr>
            <w:tcW w:w="2265" w:type="dxa"/>
          </w:tcPr>
          <w:p w14:paraId="39E7F043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Obserwacja </w:t>
            </w:r>
          </w:p>
          <w:p w14:paraId="11F90FE9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AE421C2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min. 65 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/metr </w:t>
            </w:r>
          </w:p>
          <w:p w14:paraId="3CEFC739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5BAB4F1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wiemy jak oni to zrobili </w:t>
            </w:r>
          </w:p>
        </w:tc>
        <w:tc>
          <w:tcPr>
            <w:tcW w:w="2266" w:type="dxa"/>
          </w:tcPr>
          <w:p w14:paraId="76BC5637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max 1,6 cm/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485E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50" w:rsidRPr="00A25C50" w14:paraId="20ECD973" w14:textId="77777777" w:rsidTr="00A25C50">
        <w:tc>
          <w:tcPr>
            <w:tcW w:w="2265" w:type="dxa"/>
          </w:tcPr>
          <w:p w14:paraId="6F1E666E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Detekcja </w:t>
            </w:r>
          </w:p>
          <w:p w14:paraId="7C4C84C4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E8E4852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min. 25 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/metr </w:t>
            </w:r>
          </w:p>
          <w:p w14:paraId="537921AB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90D7995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wiemy co się stało </w:t>
            </w:r>
          </w:p>
          <w:p w14:paraId="44FE2883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650C32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max 4 cm/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B580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50" w:rsidRPr="00A25C50" w14:paraId="013A2486" w14:textId="77777777" w:rsidTr="00A25C50">
        <w:tc>
          <w:tcPr>
            <w:tcW w:w="2265" w:type="dxa"/>
          </w:tcPr>
          <w:p w14:paraId="395EE49F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Monitorowanie </w:t>
            </w:r>
          </w:p>
          <w:p w14:paraId="08758B6C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7251A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min. 12 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pixeli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/metr </w:t>
            </w:r>
          </w:p>
          <w:p w14:paraId="5CB43077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7B41E2D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widać ludzi i samochody </w:t>
            </w:r>
          </w:p>
        </w:tc>
        <w:tc>
          <w:tcPr>
            <w:tcW w:w="2266" w:type="dxa"/>
          </w:tcPr>
          <w:p w14:paraId="23F648C4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max 8 cm/</w:t>
            </w:r>
            <w:proofErr w:type="spellStart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A2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24552" w14:textId="77777777" w:rsidR="00A25C50" w:rsidRPr="00A25C50" w:rsidRDefault="00A25C50" w:rsidP="00A25C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7D1F7" w14:textId="77777777" w:rsidR="00A25C50" w:rsidRDefault="00A25C50" w:rsidP="00D766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Zakładając wykorzystanie kamery megapikselowej  przyjmujemy założenia:</w:t>
      </w:r>
    </w:p>
    <w:p w14:paraId="115ECDCC" w14:textId="77777777" w:rsidR="00D37B7F" w:rsidRPr="00D37B7F" w:rsidRDefault="00D37B7F" w:rsidP="00D766F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Rozdzielczość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3Mpx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37B7F">
        <w:rPr>
          <w:rFonts w:ascii="Times New Roman" w:hAnsi="Times New Roman" w:cs="Times New Roman"/>
          <w:sz w:val="24"/>
          <w:szCs w:val="24"/>
        </w:rPr>
        <w:t>2048 x 1536</w:t>
      </w:r>
    </w:p>
    <w:p w14:paraId="7D09BAA6" w14:textId="77777777" w:rsidR="00A25C50" w:rsidRDefault="00A25C50" w:rsidP="00D766F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kamery na wysokości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4,5m</w:t>
      </w:r>
      <w:proofErr w:type="spellEnd"/>
    </w:p>
    <w:p w14:paraId="794A68F3" w14:textId="77777777" w:rsidR="00A25C50" w:rsidRDefault="00A25C50" w:rsidP="00D766F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odległość do celu</w:t>
      </w:r>
      <w:r w:rsidR="00D37B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37B7F">
        <w:rPr>
          <w:rFonts w:ascii="Times New Roman" w:hAnsi="Times New Roman" w:cs="Times New Roman"/>
          <w:sz w:val="24"/>
          <w:szCs w:val="24"/>
        </w:rPr>
        <w:t>30m</w:t>
      </w:r>
      <w:proofErr w:type="spellEnd"/>
    </w:p>
    <w:p w14:paraId="36A9376D" w14:textId="77777777" w:rsidR="00D37B7F" w:rsidRPr="00D37B7F" w:rsidRDefault="00D37B7F" w:rsidP="00D766F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szerokość sceny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10m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uzyskujemy  wynik na poziomie </w:t>
      </w:r>
      <w:proofErr w:type="spellStart"/>
      <w:r>
        <w:rPr>
          <w:rFonts w:ascii="Times New Roman" w:hAnsi="Times New Roman" w:cs="Times New Roman"/>
          <w:sz w:val="24"/>
          <w:szCs w:val="24"/>
        </w:rPr>
        <w:t>205px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/metr, co pozwala w pełni na identyfikację osoby i zdarzenia. Taki poziom szczegółowości obrazu jest dla kamer analogowych o standardowej rozdzielczości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720x576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nieosiągalny. </w:t>
      </w:r>
    </w:p>
    <w:p w14:paraId="14C021E6" w14:textId="77777777" w:rsidR="00D37B7F" w:rsidRDefault="00D37B7F" w:rsidP="00D766F3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2B1B" w14:textId="77777777" w:rsidR="00D37B7F" w:rsidRDefault="00D37B7F" w:rsidP="00D37B7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298950" cy="23691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F6747" w14:textId="77777777" w:rsidR="00D37B7F" w:rsidRDefault="00D37B7F" w:rsidP="00D37B7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spellStart"/>
      <w:r>
        <w:rPr>
          <w:rFonts w:ascii="Times New Roman" w:hAnsi="Times New Roman" w:cs="Times New Roman"/>
          <w:i/>
          <w:sz w:val="20"/>
          <w:szCs w:val="24"/>
        </w:rPr>
        <w:t>Rys.1</w:t>
      </w:r>
      <w:proofErr w:type="spellEnd"/>
      <w:r>
        <w:rPr>
          <w:rFonts w:ascii="Times New Roman" w:hAnsi="Times New Roman" w:cs="Times New Roman"/>
          <w:i/>
          <w:sz w:val="20"/>
          <w:szCs w:val="24"/>
        </w:rPr>
        <w:t xml:space="preserve"> zasięg pola widzenia kamery </w:t>
      </w:r>
      <w:proofErr w:type="spellStart"/>
      <w:r>
        <w:rPr>
          <w:rFonts w:ascii="Times New Roman" w:hAnsi="Times New Roman" w:cs="Times New Roman"/>
          <w:i/>
          <w:sz w:val="20"/>
          <w:szCs w:val="24"/>
        </w:rPr>
        <w:t>3mpx</w:t>
      </w:r>
      <w:proofErr w:type="spellEnd"/>
    </w:p>
    <w:p w14:paraId="2169D8AD" w14:textId="77777777" w:rsidR="00670192" w:rsidRDefault="00670192" w:rsidP="00D37B7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4AA1C11" w14:textId="77777777" w:rsidR="00670192" w:rsidRPr="00D37B7F" w:rsidRDefault="00670192" w:rsidP="00D37B7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D03B35C" w14:textId="77777777" w:rsidR="00D231A6" w:rsidRPr="00670192" w:rsidRDefault="00E3500E" w:rsidP="00D766F3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DLACZEGO NALEŻY ST</w:t>
      </w:r>
      <w:r w:rsidR="00044976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SOWAĆ </w:t>
      </w:r>
      <w:r w:rsidR="00D231A6" w:rsidRPr="00670192">
        <w:rPr>
          <w:rFonts w:ascii="Times New Roman" w:hAnsi="Times New Roman" w:cs="Times New Roman"/>
          <w:b/>
        </w:rPr>
        <w:t xml:space="preserve">REJESTRATORY SIECIOWE </w:t>
      </w:r>
      <w:proofErr w:type="spellStart"/>
      <w:r w:rsidR="00D231A6" w:rsidRPr="00670192">
        <w:rPr>
          <w:rFonts w:ascii="Times New Roman" w:hAnsi="Times New Roman" w:cs="Times New Roman"/>
          <w:b/>
        </w:rPr>
        <w:t>NVR</w:t>
      </w:r>
      <w:proofErr w:type="spellEnd"/>
      <w:r w:rsidR="00D231A6" w:rsidRPr="00670192">
        <w:rPr>
          <w:rFonts w:ascii="Times New Roman" w:hAnsi="Times New Roman" w:cs="Times New Roman"/>
          <w:b/>
        </w:rPr>
        <w:t xml:space="preserve"> Z OPROGRAMOWANIEM </w:t>
      </w:r>
      <w:proofErr w:type="spellStart"/>
      <w:r w:rsidR="00D231A6" w:rsidRPr="00670192">
        <w:rPr>
          <w:rFonts w:ascii="Times New Roman" w:hAnsi="Times New Roman" w:cs="Times New Roman"/>
          <w:b/>
        </w:rPr>
        <w:t>VMS</w:t>
      </w:r>
      <w:proofErr w:type="spellEnd"/>
      <w:r w:rsidR="00D231A6" w:rsidRPr="00670192">
        <w:rPr>
          <w:rFonts w:ascii="Times New Roman" w:hAnsi="Times New Roman" w:cs="Times New Roman"/>
          <w:b/>
        </w:rPr>
        <w:t xml:space="preserve"> (zamiast </w:t>
      </w:r>
      <w:proofErr w:type="spellStart"/>
      <w:r w:rsidR="00D231A6" w:rsidRPr="00670192">
        <w:rPr>
          <w:rFonts w:ascii="Times New Roman" w:hAnsi="Times New Roman" w:cs="Times New Roman"/>
          <w:b/>
        </w:rPr>
        <w:t>DVR</w:t>
      </w:r>
      <w:proofErr w:type="spellEnd"/>
      <w:r w:rsidR="00D231A6" w:rsidRPr="00670192">
        <w:rPr>
          <w:rFonts w:ascii="Times New Roman" w:hAnsi="Times New Roman" w:cs="Times New Roman"/>
          <w:b/>
        </w:rPr>
        <w:t>):</w:t>
      </w:r>
    </w:p>
    <w:p w14:paraId="52049B93" w14:textId="77777777" w:rsidR="00D231A6" w:rsidRDefault="006F4FDB" w:rsidP="00D766F3">
      <w:pPr>
        <w:numPr>
          <w:ilvl w:val="0"/>
          <w:numId w:val="5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podłączenia kamer zarówno analogowych, jak i kamer wysokiej rozdzielczości, podczas gdy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obsłuży kamer wysokiej rozdzielczości, co zamyka klienta na rozwiązania nowoczesne i przyszłościowe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D1375D" w14:textId="77777777" w:rsidR="00D231A6" w:rsidRPr="006B481A" w:rsidRDefault="006F4FDB" w:rsidP="00D766F3">
      <w:pPr>
        <w:numPr>
          <w:ilvl w:val="0"/>
          <w:numId w:val="5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Otwartość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rozwiązania: do rejestratora i oprogramowania można podłączać kamery wszystkich wiodących producentów</w:t>
      </w:r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>Avigilion</w:t>
      </w:r>
      <w:proofErr w:type="spellEnd"/>
      <w:r w:rsidR="00E3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kamery działają z oprogramowaniem wszystkich wiodących producentów, podczas gdy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rozwiązaniem zamkniętym, użytkownik jest uzależniony od jednego producenta, takie uzależnienie daje producentowi możliwość dowolnego kształtowania ceny urządzeń i serwisu (np. koszt wymiany dysku w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przykładu koszt dysku w reje</w:t>
      </w: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tratorze </w:t>
      </w:r>
      <w:r w:rsidR="00D231A6" w:rsidRPr="00E3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BOSCH,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wymaga dysku certyfikowanego wynosi 300</w:t>
      </w: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% ceny normalnego dysku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6459FEA" w14:textId="77777777" w:rsidR="00D231A6" w:rsidRPr="00D231A6" w:rsidRDefault="00D231A6" w:rsidP="00D231A6">
      <w:pPr>
        <w:spacing w:after="0" w:line="240" w:lineRule="auto"/>
        <w:rPr>
          <w:rFonts w:ascii="Times New Roman" w:hAnsi="Times New Roman" w:cs="Times New Roman"/>
        </w:rPr>
      </w:pPr>
    </w:p>
    <w:p w14:paraId="08147F2C" w14:textId="77777777" w:rsidR="00D231A6" w:rsidRDefault="006F4FDB" w:rsidP="00D766F3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koderów można </w:t>
      </w:r>
      <w:r w:rsidR="0068203D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podłączyć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dowolną kamerę analogową. Klient może więc migrować na platformę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NVR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VMS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zachowaniu używanych kamer analogowych dowolnego producenta, a potem wymieniać je w miarę awarii lub potrzeb na dowolne kamery analogowe lub praktycznie dowolne kamery IP wysokiej rozdzielczości</w:t>
      </w:r>
      <w:r w:rsidR="00D231A6" w:rsidRPr="00D231A6">
        <w:rPr>
          <w:rFonts w:ascii="Times New Roman" w:hAnsi="Times New Roman" w:cs="Times New Roman"/>
        </w:rPr>
        <w:t>,</w:t>
      </w:r>
    </w:p>
    <w:p w14:paraId="155F6014" w14:textId="77777777" w:rsidR="00D231A6" w:rsidRPr="00D231A6" w:rsidRDefault="00D231A6" w:rsidP="00D231A6">
      <w:pPr>
        <w:pStyle w:val="Akapitzlist"/>
        <w:rPr>
          <w:rFonts w:ascii="Times New Roman" w:hAnsi="Times New Roman" w:cs="Times New Roman"/>
        </w:rPr>
      </w:pPr>
    </w:p>
    <w:p w14:paraId="06F58F60" w14:textId="77777777" w:rsidR="00D231A6" w:rsidRPr="006B481A" w:rsidRDefault="006F4FDB" w:rsidP="00D766F3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Rejestratorem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NVR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komputer typu PC, czyli platforma uniwersalna, modularna i popularna, co daje klientowi elastyczność w przypadku rozbudowy czy wymiany systemu, nie uzależnia od jednego producenta. Urządzenia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zmieniają się, po jakimś czasie może się okazać, że zepsutego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da się zamienić na taki sam model, co może być potencjalnym źródłem problemów we współpracy z zainstalowanymi na danej stacji kamerami,</w:t>
      </w:r>
    </w:p>
    <w:p w14:paraId="1589FA85" w14:textId="77777777" w:rsidR="007A796D" w:rsidRPr="006B481A" w:rsidRDefault="007A796D" w:rsidP="007A796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C6CF9" w14:textId="77777777" w:rsidR="007A796D" w:rsidRPr="00D231A6" w:rsidRDefault="007A796D" w:rsidP="007A796D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19CD7030" w14:textId="77777777" w:rsidR="00D231A6" w:rsidRPr="006B481A" w:rsidRDefault="006F4FDB" w:rsidP="00D766F3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sieciowego oprogramowania typu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VMS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ono bardziej wszechstronne niż oprogramowanie na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(ewentualne zastosowanie analizy obrazu: zliczanie klientów, przekroczenie linii, pozostawienie obiektu,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duże możliwości konfiguracyjne serwera i kamer; możliwość włączenia rejestratorów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NVR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sieć korporacyjną i zintegrowany dostęp do materiału wideo na obiektach z jednego centrum monitoringu na jednej aplikacji - jeżeli będzie taka potrzeba),</w:t>
      </w:r>
    </w:p>
    <w:p w14:paraId="7955B235" w14:textId="77777777" w:rsidR="00D231A6" w:rsidRPr="00D231A6" w:rsidRDefault="00D231A6" w:rsidP="00C93D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2941C" w14:textId="77777777" w:rsidR="00D231A6" w:rsidRDefault="006F4FDB" w:rsidP="00D766F3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Łatwo</w:t>
      </w:r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możemy zmienić lokalizację rejestratora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NVR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(wystarczy doprowadzić jedną skrętkę), podczas gdy ewentualna zmiana lokalizacji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bardzo trudna ze względu na doprowadzenie do </w:t>
      </w:r>
      <w:proofErr w:type="spellStart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>DVR</w:t>
      </w:r>
      <w:proofErr w:type="spellEnd"/>
      <w:r w:rsidR="00D231A6" w:rsidRPr="006B4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kilkunastu kabli koncentrycznych</w:t>
      </w:r>
    </w:p>
    <w:p w14:paraId="6318F5EC" w14:textId="77777777" w:rsidR="0068264F" w:rsidRPr="0068264F" w:rsidRDefault="0068264F" w:rsidP="00D766F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F5352" w14:textId="77777777" w:rsidR="0068264F" w:rsidRPr="0068264F" w:rsidRDefault="0068264F" w:rsidP="0068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C62E8" w14:textId="77777777" w:rsidR="0068264F" w:rsidRPr="00D766F3" w:rsidRDefault="0068264F" w:rsidP="00D766F3">
      <w:pPr>
        <w:pStyle w:val="Tekstpodstawowy"/>
        <w:spacing w:line="360" w:lineRule="auto"/>
        <w:rPr>
          <w:b/>
        </w:rPr>
      </w:pPr>
      <w:r w:rsidRPr="00D766F3">
        <w:rPr>
          <w:b/>
        </w:rPr>
        <w:t xml:space="preserve">Poniżej podano </w:t>
      </w:r>
      <w:r w:rsidR="00595032" w:rsidRPr="00D766F3">
        <w:rPr>
          <w:b/>
        </w:rPr>
        <w:t xml:space="preserve">przykładowe </w:t>
      </w:r>
      <w:r w:rsidRPr="00D766F3">
        <w:rPr>
          <w:b/>
        </w:rPr>
        <w:t>parametry funkcjonalno-użytkowe systemu</w:t>
      </w:r>
      <w:r w:rsidR="00595032" w:rsidRPr="00D766F3">
        <w:rPr>
          <w:b/>
        </w:rPr>
        <w:t xml:space="preserve"> rejestracji (Centrum Monitoringu)</w:t>
      </w:r>
      <w:r w:rsidRPr="00D766F3">
        <w:rPr>
          <w:b/>
        </w:rPr>
        <w:t xml:space="preserve">: </w:t>
      </w:r>
    </w:p>
    <w:p w14:paraId="437B2A42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Ciągła, samoczynna, cyfrowa rejestracja obrazów z kamer na urządzeniach w centrum monitorowania, z możliwością jednoczesnego odtwarzania nagrania oraz podglądu on-line (praca w trybie „</w:t>
      </w:r>
      <w:proofErr w:type="spellStart"/>
      <w:r>
        <w:t>triplex</w:t>
      </w:r>
      <w:proofErr w:type="spellEnd"/>
      <w:r>
        <w:t>”),</w:t>
      </w:r>
    </w:p>
    <w:p w14:paraId="671106DB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Niezależnie dla każdej kamery definiowane parametry nagrywania, transmisji i sterowania,</w:t>
      </w:r>
    </w:p>
    <w:p w14:paraId="1340FA72" w14:textId="77777777" w:rsidR="0068264F" w:rsidRDefault="0068264F" w:rsidP="00CE19E3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 xml:space="preserve">Archiwizacja nagrań na płytach DVD, </w:t>
      </w:r>
    </w:p>
    <w:p w14:paraId="3ED496B2" w14:textId="77777777" w:rsidR="0068264F" w:rsidRDefault="0068264F" w:rsidP="00CE19E3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Centralne zarządzanie uprawnieniami wszystkich użytkowników systemu,</w:t>
      </w:r>
    </w:p>
    <w:p w14:paraId="7CA5F5BD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Alarmowanie w CM zaniku sygnału wideo na którymś z wejść,</w:t>
      </w:r>
    </w:p>
    <w:p w14:paraId="05D15404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Cyfrowy system zarządzania monitoringiem, umożliwiający zdalne programowanie i sterowanie kamer</w:t>
      </w:r>
    </w:p>
    <w:p w14:paraId="4A90D6C6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 xml:space="preserve">Możliwość podłączania dodatkowych, zewnętrznych nośników danych np. macierzy dyskowych </w:t>
      </w:r>
      <w:proofErr w:type="spellStart"/>
      <w:r>
        <w:t>RAID</w:t>
      </w:r>
      <w:proofErr w:type="spellEnd"/>
      <w:r>
        <w:t>,</w:t>
      </w:r>
    </w:p>
    <w:p w14:paraId="318C420C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Możliwość sterowania kamerami ruchomymi przez uprawnione osoby z każdego stanowiska operatorskiego,</w:t>
      </w:r>
    </w:p>
    <w:p w14:paraId="6CCE9136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 xml:space="preserve">Obserwacja stanu wejść alarmowych, ciągłe monitorowanie i powiadamianie </w:t>
      </w:r>
    </w:p>
    <w:p w14:paraId="4BA5B010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Rejestracja zdarzeń w bazie z opisem zawierającym datę, czas wystąpienia i opis zdarzenia,</w:t>
      </w:r>
    </w:p>
    <w:p w14:paraId="2E6041EF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Możliwość zwiększania liczby stanowisk operatorów systemu,</w:t>
      </w:r>
    </w:p>
    <w:p w14:paraId="3DCE4BC9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Możliwość uruchomienia stanowisk operatorskich w dowolnej lokalizacji, poprzez sieć komputerową,</w:t>
      </w:r>
    </w:p>
    <w:p w14:paraId="2E3E2F51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>Administracja systemu z dowolnej stacji sieci komputerowej, zmiana i rekonfiguracja połączeń dokonywana tylko programowo, bez ingerencji w okablowanie,</w:t>
      </w:r>
    </w:p>
    <w:p w14:paraId="22AA1357" w14:textId="77777777" w:rsidR="0068264F" w:rsidRDefault="0068264F" w:rsidP="0068264F">
      <w:pPr>
        <w:pStyle w:val="Listawypunktowana2"/>
        <w:numPr>
          <w:ilvl w:val="0"/>
          <w:numId w:val="14"/>
        </w:numPr>
        <w:tabs>
          <w:tab w:val="left" w:pos="1211"/>
        </w:tabs>
      </w:pPr>
      <w:r>
        <w:t xml:space="preserve">Możliwość przyporządkowania każdej kamerze indywidualnych, jednoczesnych (dla </w:t>
      </w:r>
      <w:r w:rsidR="00044976">
        <w:t>danej kamery) parametrów zapisu.</w:t>
      </w:r>
    </w:p>
    <w:p w14:paraId="71B4AD12" w14:textId="77777777" w:rsidR="00595032" w:rsidRDefault="00595032" w:rsidP="00595032">
      <w:pPr>
        <w:pStyle w:val="WW-Tekstpodstawowy2"/>
        <w:tabs>
          <w:tab w:val="clear" w:pos="567"/>
          <w:tab w:val="left" w:pos="1800"/>
        </w:tabs>
        <w:spacing w:before="0" w:line="360" w:lineRule="auto"/>
      </w:pPr>
    </w:p>
    <w:p w14:paraId="3B607BC8" w14:textId="77777777" w:rsidR="00B475F9" w:rsidRPr="009163D1" w:rsidRDefault="00044976" w:rsidP="00044976">
      <w:pPr>
        <w:pStyle w:val="Listawypunktowana2"/>
        <w:numPr>
          <w:ilvl w:val="0"/>
          <w:numId w:val="0"/>
        </w:numPr>
        <w:ind w:left="5316" w:hanging="360"/>
        <w:rPr>
          <w:szCs w:val="24"/>
        </w:rPr>
      </w:pPr>
      <w:r>
        <w:rPr>
          <w:szCs w:val="24"/>
        </w:rPr>
        <w:t>Opracowa</w:t>
      </w:r>
      <w:r w:rsidR="009A0F49">
        <w:rPr>
          <w:szCs w:val="24"/>
        </w:rPr>
        <w:t xml:space="preserve">nie: </w:t>
      </w:r>
      <w:r>
        <w:rPr>
          <w:szCs w:val="24"/>
        </w:rPr>
        <w:t>Visacom sp. zoo</w:t>
      </w:r>
    </w:p>
    <w:sectPr w:rsidR="00B475F9" w:rsidRPr="0091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CA7955"/>
    <w:multiLevelType w:val="hybridMultilevel"/>
    <w:tmpl w:val="F08247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B142A"/>
    <w:multiLevelType w:val="hybridMultilevel"/>
    <w:tmpl w:val="890CFE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53625"/>
    <w:multiLevelType w:val="multilevel"/>
    <w:tmpl w:val="B6A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C68C9"/>
    <w:multiLevelType w:val="hybridMultilevel"/>
    <w:tmpl w:val="B0C4F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70675"/>
    <w:multiLevelType w:val="hybridMultilevel"/>
    <w:tmpl w:val="B94C1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E3EB7"/>
    <w:multiLevelType w:val="multilevel"/>
    <w:tmpl w:val="856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14852"/>
    <w:multiLevelType w:val="multilevel"/>
    <w:tmpl w:val="4EF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E383B"/>
    <w:multiLevelType w:val="multilevel"/>
    <w:tmpl w:val="D0A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51F37"/>
    <w:multiLevelType w:val="multilevel"/>
    <w:tmpl w:val="7AE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33923"/>
    <w:multiLevelType w:val="multilevel"/>
    <w:tmpl w:val="7D3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C0247"/>
    <w:multiLevelType w:val="hybridMultilevel"/>
    <w:tmpl w:val="1D300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732E"/>
    <w:multiLevelType w:val="hybridMultilevel"/>
    <w:tmpl w:val="055257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18081C"/>
    <w:multiLevelType w:val="multilevel"/>
    <w:tmpl w:val="9E84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96988"/>
    <w:multiLevelType w:val="multilevel"/>
    <w:tmpl w:val="893E7714"/>
    <w:lvl w:ilvl="0">
      <w:start w:val="1"/>
      <w:numFmt w:val="bullet"/>
      <w:pStyle w:val="Listawy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5E5DB3"/>
    <w:multiLevelType w:val="multilevel"/>
    <w:tmpl w:val="D27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C568E"/>
    <w:multiLevelType w:val="multilevel"/>
    <w:tmpl w:val="873A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7"/>
  </w:num>
  <w:num w:numId="5">
    <w:abstractNumId w:val="14"/>
  </w:num>
  <w:num w:numId="6">
    <w:abstractNumId w:val="7"/>
  </w:num>
  <w:num w:numId="7">
    <w:abstractNumId w:val="15"/>
  </w:num>
  <w:num w:numId="8">
    <w:abstractNumId w:val="4"/>
  </w:num>
  <w:num w:numId="9">
    <w:abstractNumId w:val="8"/>
  </w:num>
  <w:num w:numId="10">
    <w:abstractNumId w:val="16"/>
  </w:num>
  <w:num w:numId="11">
    <w:abstractNumId w:val="5"/>
  </w:num>
  <w:num w:numId="12">
    <w:abstractNumId w:val="12"/>
  </w:num>
  <w:num w:numId="13">
    <w:abstractNumId w:val="2"/>
  </w:num>
  <w:num w:numId="14">
    <w:abstractNumId w:val="0"/>
  </w:num>
  <w:num w:numId="15">
    <w:abstractNumId w:val="1"/>
  </w:num>
  <w:num w:numId="16">
    <w:abstractNumId w:val="13"/>
  </w:num>
  <w:num w:numId="17">
    <w:abstractNumId w:val="15"/>
  </w:num>
  <w:num w:numId="18">
    <w:abstractNumId w:val="15"/>
  </w:num>
  <w:num w:numId="19">
    <w:abstractNumId w:val="15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4F"/>
    <w:rsid w:val="00044976"/>
    <w:rsid w:val="00555082"/>
    <w:rsid w:val="00595032"/>
    <w:rsid w:val="005A7C91"/>
    <w:rsid w:val="00670192"/>
    <w:rsid w:val="0068203D"/>
    <w:rsid w:val="0068264F"/>
    <w:rsid w:val="006A1B0C"/>
    <w:rsid w:val="006B481A"/>
    <w:rsid w:val="006F4FDB"/>
    <w:rsid w:val="007113D4"/>
    <w:rsid w:val="007A796D"/>
    <w:rsid w:val="00840458"/>
    <w:rsid w:val="009163D1"/>
    <w:rsid w:val="009A0F49"/>
    <w:rsid w:val="00A25C50"/>
    <w:rsid w:val="00B475F9"/>
    <w:rsid w:val="00BF1E66"/>
    <w:rsid w:val="00C93DF8"/>
    <w:rsid w:val="00CA124F"/>
    <w:rsid w:val="00D231A6"/>
    <w:rsid w:val="00D37B7F"/>
    <w:rsid w:val="00D766F3"/>
    <w:rsid w:val="00E3500E"/>
    <w:rsid w:val="00F1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372D"/>
  <w15:docId w15:val="{40215790-C164-4322-AB68-64228F67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124F"/>
    <w:rPr>
      <w:b/>
      <w:bCs/>
    </w:rPr>
  </w:style>
  <w:style w:type="table" w:styleId="Tabela-Siatka">
    <w:name w:val="Table Grid"/>
    <w:basedOn w:val="Standardowy"/>
    <w:uiPriority w:val="39"/>
    <w:rsid w:val="00A2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5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25C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8264F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264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68264F"/>
    <w:pPr>
      <w:tabs>
        <w:tab w:val="left" w:pos="567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2">
    <w:name w:val="Lista wypunktowana 2"/>
    <w:basedOn w:val="Normalny"/>
    <w:rsid w:val="0068264F"/>
    <w:pPr>
      <w:numPr>
        <w:numId w:val="7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ps">
    <w:name w:val="hps"/>
    <w:basedOn w:val="Domylnaczcionkaakapitu"/>
    <w:rsid w:val="00595032"/>
  </w:style>
  <w:style w:type="character" w:customStyle="1" w:styleId="shorttext">
    <w:name w:val="short_text"/>
    <w:basedOn w:val="Domylnaczcionkaakapitu"/>
    <w:rsid w:val="00D7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Andrzej</cp:lastModifiedBy>
  <cp:revision>2</cp:revision>
  <dcterms:created xsi:type="dcterms:W3CDTF">2015-04-30T05:25:00Z</dcterms:created>
  <dcterms:modified xsi:type="dcterms:W3CDTF">2015-04-30T05:25:00Z</dcterms:modified>
</cp:coreProperties>
</file>